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C7A5F" w14:textId="17DCDE02" w:rsidR="00FB59CB" w:rsidRPr="00FB59CB" w:rsidRDefault="00FB59CB">
      <w:pPr>
        <w:rPr>
          <w:rFonts w:ascii="ＭＳ ゴシック" w:eastAsia="ＭＳ ゴシック" w:hAnsi="ＭＳ ゴシック"/>
          <w:sz w:val="24"/>
          <w:szCs w:val="24"/>
        </w:rPr>
      </w:pPr>
      <w:r w:rsidRPr="00FB59CB">
        <w:rPr>
          <w:rFonts w:ascii="ＭＳ ゴシック" w:eastAsia="ＭＳ ゴシック" w:hAnsi="ＭＳ ゴシック" w:hint="eastAsia"/>
          <w:sz w:val="24"/>
          <w:szCs w:val="24"/>
        </w:rPr>
        <w:t>記憶の貯蔵庫モデル</w:t>
      </w:r>
    </w:p>
    <w:p w14:paraId="2B71FB8A" w14:textId="114DF8BF" w:rsidR="00A36320" w:rsidRDefault="006C17DE" w:rsidP="00FB59CB">
      <w:pPr>
        <w:ind w:firstLineChars="100" w:firstLine="210"/>
      </w:pPr>
      <w:r>
        <w:rPr>
          <w:rFonts w:hint="eastAsia"/>
        </w:rPr>
        <w:t>教えられた電話番号を覚えて電話をかけることはできますが，その番号はすぐに忘れてしまうでしょう。一方で，比較的長く覚えている情報もあります。小学校で学習した九九を忘れたという大学生はほとんどいないでしょう。</w:t>
      </w:r>
      <w:r w:rsidR="00F21D54">
        <w:rPr>
          <w:rFonts w:hint="eastAsia"/>
        </w:rPr>
        <w:t>記憶には短期的なものと長期的なものがあることがわかります。</w:t>
      </w:r>
    </w:p>
    <w:p w14:paraId="65272CC8" w14:textId="69D670F1" w:rsidR="006C17DE" w:rsidRDefault="006C17DE">
      <w:r>
        <w:rPr>
          <w:rFonts w:hint="eastAsia"/>
        </w:rPr>
        <w:t xml:space="preserve">　</w:t>
      </w:r>
      <w:r w:rsidR="00F21D54">
        <w:rPr>
          <w:rFonts w:hint="eastAsia"/>
        </w:rPr>
        <w:t>心理学において，短期的な記憶と長期的な記憶を分ける考えは古くからありました。アメリカ心理学の父と呼ばれるウィリアム・</w:t>
      </w:r>
      <w:r w:rsidR="00421D8A">
        <w:rPr>
          <w:rFonts w:hint="eastAsia"/>
        </w:rPr>
        <w:t>ジェームズ（William James: 1842生-1910没）は，</w:t>
      </w:r>
      <w:r w:rsidR="00B463E9">
        <w:rPr>
          <w:rFonts w:hint="eastAsia"/>
        </w:rPr>
        <w:t>経験の対象が意識から消えないでいる</w:t>
      </w:r>
      <w:r w:rsidR="00B463E9">
        <w:rPr>
          <w:rFonts w:ascii="ＭＳ ゴシック" w:eastAsia="ＭＳ ゴシック" w:hAnsi="ＭＳ ゴシック" w:hint="eastAsia"/>
        </w:rPr>
        <w:t>一次</w:t>
      </w:r>
      <w:r w:rsidR="00B463E9" w:rsidRPr="00E06959">
        <w:rPr>
          <w:rFonts w:ascii="ＭＳ ゴシック" w:eastAsia="ＭＳ ゴシック" w:hAnsi="ＭＳ ゴシック" w:hint="eastAsia"/>
        </w:rPr>
        <w:t>記憶</w:t>
      </w:r>
      <w:r w:rsidR="00B463E9">
        <w:rPr>
          <w:rFonts w:hint="eastAsia"/>
        </w:rPr>
        <w:t>（primary memory）と，</w:t>
      </w:r>
      <w:r w:rsidR="00E06959">
        <w:rPr>
          <w:rFonts w:hint="eastAsia"/>
        </w:rPr>
        <w:t>意識から一度消失した対象についての記憶である</w:t>
      </w:r>
      <w:r w:rsidR="00E06959" w:rsidRPr="00E06959">
        <w:rPr>
          <w:rFonts w:ascii="ＭＳ ゴシック" w:eastAsia="ＭＳ ゴシック" w:hAnsi="ＭＳ ゴシック" w:hint="eastAsia"/>
        </w:rPr>
        <w:t>二次記憶</w:t>
      </w:r>
      <w:r w:rsidR="00E06959">
        <w:rPr>
          <w:rFonts w:hint="eastAsia"/>
        </w:rPr>
        <w:t>（secondary memory）を区別しました。</w:t>
      </w:r>
      <w:r w:rsidR="00B463E9">
        <w:rPr>
          <w:rFonts w:hint="eastAsia"/>
        </w:rPr>
        <w:t>一次記憶は後述の短期記憶に，二次記憶は長期記憶に対応します。</w:t>
      </w:r>
    </w:p>
    <w:p w14:paraId="173BD25F" w14:textId="7E0BF5A3" w:rsidR="00087BAA" w:rsidRDefault="00B463E9">
      <w:r>
        <w:rPr>
          <w:rFonts w:hint="eastAsia"/>
        </w:rPr>
        <w:t xml:space="preserve">　20世紀中ごろに</w:t>
      </w:r>
      <w:r w:rsidR="00087BAA">
        <w:rPr>
          <w:rStyle w:val="af0"/>
        </w:rPr>
        <w:endnoteReference w:id="1"/>
      </w:r>
      <w:r>
        <w:rPr>
          <w:rFonts w:hint="eastAsia"/>
        </w:rPr>
        <w:t>，イギリスの心理学者ブロードベント（Donald Eric Broadbent: 1926-1993）</w:t>
      </w:r>
      <w:r w:rsidR="005536DA">
        <w:rPr>
          <w:rFonts w:hint="eastAsia"/>
        </w:rPr>
        <w:t>は</w:t>
      </w:r>
      <w:r w:rsidR="00087BAA">
        <w:rPr>
          <w:rFonts w:hint="eastAsia"/>
        </w:rPr>
        <w:t>，外界から入力される特定の情報に注意を向けて処理を行うフィルターモデルを提唱しました。ここでは，外界から得られる情報を一時的に保持する「短期貯蔵（short term store）」と，過去の事象の記憶である「過去事象の条件つき確率</w:t>
      </w:r>
      <w:r w:rsidR="00093FA3">
        <w:rPr>
          <w:rFonts w:hint="eastAsia"/>
        </w:rPr>
        <w:t>の貯蔵</w:t>
      </w:r>
      <w:r w:rsidR="00220B52">
        <w:rPr>
          <w:rFonts w:hint="eastAsia"/>
        </w:rPr>
        <w:t>（</w:t>
      </w:r>
      <w:r w:rsidR="00093FA3">
        <w:rPr>
          <w:rFonts w:hint="eastAsia"/>
        </w:rPr>
        <w:t xml:space="preserve">store of conditional </w:t>
      </w:r>
      <w:r w:rsidR="00220B52">
        <w:rPr>
          <w:rFonts w:hint="eastAsia"/>
        </w:rPr>
        <w:t>probabilities of past events）」が明確に区別されました。過去の事象</w:t>
      </w:r>
      <w:r w:rsidR="00093FA3">
        <w:rPr>
          <w:rFonts w:hint="eastAsia"/>
        </w:rPr>
        <w:t>の記憶は</w:t>
      </w:r>
      <w:r w:rsidR="005536DA">
        <w:rPr>
          <w:rFonts w:hint="eastAsia"/>
        </w:rPr>
        <w:t>，</w:t>
      </w:r>
      <w:r w:rsidR="00013F38">
        <w:rPr>
          <w:rFonts w:hint="eastAsia"/>
        </w:rPr>
        <w:t>短期貯蔵にある</w:t>
      </w:r>
      <w:r w:rsidR="005536DA">
        <w:rPr>
          <w:rFonts w:hint="eastAsia"/>
        </w:rPr>
        <w:t>，</w:t>
      </w:r>
      <w:r w:rsidR="00093FA3">
        <w:rPr>
          <w:rFonts w:hint="eastAsia"/>
        </w:rPr>
        <w:t>どの情報に注意を向けるかを決め</w:t>
      </w:r>
      <w:r w:rsidR="00013F38">
        <w:rPr>
          <w:rFonts w:hint="eastAsia"/>
        </w:rPr>
        <w:t>るために使われます</w:t>
      </w:r>
      <w:r w:rsidR="00093FA3">
        <w:rPr>
          <w:rStyle w:val="af0"/>
        </w:rPr>
        <w:endnoteReference w:id="2"/>
      </w:r>
      <w:r w:rsidR="00093FA3">
        <w:rPr>
          <w:rFonts w:hint="eastAsia"/>
        </w:rPr>
        <w:t>。</w:t>
      </w:r>
      <w:r w:rsidR="005536DA">
        <w:rPr>
          <w:rFonts w:hint="eastAsia"/>
        </w:rPr>
        <w:t>注意を向けられた情報が「フィルター」を通過し，次の段階の処理を受けます。</w:t>
      </w:r>
    </w:p>
    <w:p w14:paraId="47775620" w14:textId="2688651D" w:rsidR="005536DA" w:rsidRDefault="005536DA">
      <w:r>
        <w:rPr>
          <w:rFonts w:hint="eastAsia"/>
        </w:rPr>
        <w:t xml:space="preserve">　ブロードベントのフィルターモデルは</w:t>
      </w:r>
      <w:r w:rsidRPr="005536DA">
        <w:rPr>
          <w:rFonts w:ascii="ＭＳ ゴシック" w:eastAsia="ＭＳ ゴシック" w:hAnsi="ＭＳ ゴシック" w:hint="eastAsia"/>
        </w:rPr>
        <w:t>貯蔵庫モデル</w:t>
      </w:r>
      <w:r>
        <w:rPr>
          <w:rFonts w:hint="eastAsia"/>
        </w:rPr>
        <w:t>（storage model）と呼ばれる記憶モデルに影響を与えました。</w:t>
      </w:r>
      <w:r w:rsidR="00A11D57">
        <w:rPr>
          <w:rFonts w:hint="eastAsia"/>
        </w:rPr>
        <w:t>下図に示す</w:t>
      </w:r>
      <w:r w:rsidR="00735614">
        <w:rPr>
          <w:rFonts w:hint="eastAsia"/>
        </w:rPr>
        <w:t>アトキンソンとシフリンの</w:t>
      </w:r>
      <w:r w:rsidR="00735614" w:rsidRPr="00735614">
        <w:rPr>
          <w:rFonts w:ascii="ＭＳ ゴシック" w:eastAsia="ＭＳ ゴシック" w:hAnsi="ＭＳ ゴシック" w:hint="eastAsia"/>
        </w:rPr>
        <w:t>二重</w:t>
      </w:r>
      <w:r w:rsidR="00681054">
        <w:rPr>
          <w:rFonts w:ascii="ＭＳ ゴシック" w:eastAsia="ＭＳ ゴシック" w:hAnsi="ＭＳ ゴシック" w:hint="eastAsia"/>
        </w:rPr>
        <w:t>貯蔵庫</w:t>
      </w:r>
      <w:r w:rsidR="00735614" w:rsidRPr="00735614">
        <w:rPr>
          <w:rFonts w:ascii="ＭＳ ゴシック" w:eastAsia="ＭＳ ゴシック" w:hAnsi="ＭＳ ゴシック" w:hint="eastAsia"/>
        </w:rPr>
        <w:t>モデル</w:t>
      </w:r>
      <w:r w:rsidR="00735614">
        <w:rPr>
          <w:rFonts w:hint="eastAsia"/>
        </w:rPr>
        <w:t>（dual storage model）</w:t>
      </w:r>
      <w:r w:rsidR="00735614">
        <w:rPr>
          <w:rStyle w:val="af0"/>
        </w:rPr>
        <w:endnoteReference w:id="3"/>
      </w:r>
      <w:r>
        <w:rPr>
          <w:rFonts w:hint="eastAsia"/>
        </w:rPr>
        <w:t>では，</w:t>
      </w:r>
      <w:r w:rsidRPr="005536DA">
        <w:rPr>
          <w:rFonts w:ascii="ＭＳ ゴシック" w:eastAsia="ＭＳ ゴシック" w:hAnsi="ＭＳ ゴシック" w:hint="eastAsia"/>
        </w:rPr>
        <w:t>短期記憶</w:t>
      </w:r>
      <w:r>
        <w:rPr>
          <w:rFonts w:hint="eastAsia"/>
        </w:rPr>
        <w:t>（short-term memory）と</w:t>
      </w:r>
      <w:r w:rsidRPr="005536DA">
        <w:rPr>
          <w:rFonts w:ascii="ＭＳ ゴシック" w:eastAsia="ＭＳ ゴシック" w:hAnsi="ＭＳ ゴシック" w:hint="eastAsia"/>
        </w:rPr>
        <w:t>長期記憶</w:t>
      </w:r>
      <w:r>
        <w:rPr>
          <w:rFonts w:hint="eastAsia"/>
        </w:rPr>
        <w:t>（long-term memory）を区別し，</w:t>
      </w:r>
      <w:r w:rsidR="007702D3">
        <w:rPr>
          <w:rFonts w:hint="eastAsia"/>
        </w:rPr>
        <w:t>それぞれに対応する貯蔵庫（</w:t>
      </w:r>
      <w:r w:rsidR="008C4660">
        <w:rPr>
          <w:rFonts w:hint="eastAsia"/>
        </w:rPr>
        <w:t xml:space="preserve">store, </w:t>
      </w:r>
      <w:r w:rsidR="007702D3">
        <w:rPr>
          <w:rFonts w:hint="eastAsia"/>
        </w:rPr>
        <w:t>storage）を想定します。もちろん，頭の中に物理的な貯蔵庫が存在するわけではありませんが，貯蔵庫としての機能がどこかで実現されていると考えることができます。</w:t>
      </w:r>
    </w:p>
    <w:p w14:paraId="60FE59FE" w14:textId="77777777" w:rsidR="00A11D57" w:rsidRDefault="00A11D57"/>
    <w:p w14:paraId="64868CBF" w14:textId="35B3E4E1" w:rsidR="00A11D57" w:rsidRDefault="00220B52">
      <w:r>
        <w:rPr>
          <w:noProof/>
        </w:rPr>
        <w:drawing>
          <wp:inline distT="0" distB="0" distL="0" distR="0" wp14:anchorId="51604D4D" wp14:editId="69A4823A">
            <wp:extent cx="5400040" cy="2247265"/>
            <wp:effectExtent l="0" t="0" r="0" b="635"/>
            <wp:docPr id="177666712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667127" name="図 2" descr="ダイアグラム&#10;&#10;自動的に生成された説明"/>
                    <pic:cNvPicPr/>
                  </pic:nvPicPr>
                  <pic:blipFill>
                    <a:blip r:embed="rId7">
                      <a:extLst>
                        <a:ext uri="{28A0092B-C50C-407E-A947-70E740481C1C}">
                          <a14:useLocalDpi xmlns:a14="http://schemas.microsoft.com/office/drawing/2010/main" val="0"/>
                        </a:ext>
                      </a:extLst>
                    </a:blip>
                    <a:stretch>
                      <a:fillRect/>
                    </a:stretch>
                  </pic:blipFill>
                  <pic:spPr>
                    <a:xfrm>
                      <a:off x="0" y="0"/>
                      <a:ext cx="5400040" cy="2247265"/>
                    </a:xfrm>
                    <a:prstGeom prst="rect">
                      <a:avLst/>
                    </a:prstGeom>
                  </pic:spPr>
                </pic:pic>
              </a:graphicData>
            </a:graphic>
          </wp:inline>
        </w:drawing>
      </w:r>
    </w:p>
    <w:p w14:paraId="5841C20F" w14:textId="05E3D044" w:rsidR="00A11D57" w:rsidRDefault="005053B0">
      <w:r>
        <w:rPr>
          <w:rFonts w:hint="eastAsia"/>
        </w:rPr>
        <w:t>図　アトキンソンとシフリンの二重貯蔵庫モデル</w:t>
      </w:r>
    </w:p>
    <w:p w14:paraId="6C8B6B27" w14:textId="77777777" w:rsidR="005053B0" w:rsidRDefault="005053B0"/>
    <w:p w14:paraId="5C3BC593" w14:textId="3B9A9A39" w:rsidR="00E70C1F" w:rsidRDefault="00E70C1F">
      <w:r>
        <w:rPr>
          <w:rFonts w:hint="eastAsia"/>
        </w:rPr>
        <w:lastRenderedPageBreak/>
        <w:t xml:space="preserve">　</w:t>
      </w:r>
      <w:r w:rsidR="00BA5A7E">
        <w:rPr>
          <w:rFonts w:hint="eastAsia"/>
        </w:rPr>
        <w:t>二重貯蔵庫モデルでは，環境からの入力情報は最初に</w:t>
      </w:r>
      <w:r w:rsidR="00BA5A7E" w:rsidRPr="00BA5A7E">
        <w:rPr>
          <w:rFonts w:ascii="ＭＳ ゴシック" w:eastAsia="ＭＳ ゴシック" w:hAnsi="ＭＳ ゴシック" w:hint="eastAsia"/>
        </w:rPr>
        <w:t>短期貯蔵庫</w:t>
      </w:r>
      <w:r w:rsidR="00BA5A7E">
        <w:rPr>
          <w:rFonts w:hint="eastAsia"/>
        </w:rPr>
        <w:t>（short-term store）に入ります</w:t>
      </w:r>
      <w:r w:rsidR="005053B0">
        <w:rPr>
          <w:rStyle w:val="af0"/>
        </w:rPr>
        <w:endnoteReference w:id="4"/>
      </w:r>
      <w:r w:rsidR="00BA5A7E">
        <w:rPr>
          <w:rFonts w:hint="eastAsia"/>
        </w:rPr>
        <w:t>。ある時点で人間が意識できている情報がここに入っています。短期貯蔵庫の容量は小さく，わずかな量の情報しか保持できません。それに，情報はすぐに減衰してしまって，意識から消えてしまいます。</w:t>
      </w:r>
    </w:p>
    <w:p w14:paraId="648745EE" w14:textId="4E4EB139" w:rsidR="00BA5A7E" w:rsidRDefault="00BA5A7E">
      <w:r>
        <w:rPr>
          <w:rFonts w:hint="eastAsia"/>
        </w:rPr>
        <w:t xml:space="preserve">　短期貯蔵庫に保持できる情報の量は </w:t>
      </w:r>
      <m:oMath>
        <m:r>
          <w:rPr>
            <w:rFonts w:ascii="Cambria Math" w:hAnsi="Cambria Math"/>
          </w:rPr>
          <m:t>7±2</m:t>
        </m:r>
      </m:oMath>
      <w:r>
        <w:rPr>
          <w:rFonts w:hint="eastAsia"/>
        </w:rPr>
        <w:t xml:space="preserve"> チャンク程度です。ここで</w:t>
      </w:r>
      <w:r w:rsidRPr="00BA5A7E">
        <w:rPr>
          <w:rFonts w:ascii="ＭＳ ゴシック" w:eastAsia="ＭＳ ゴシック" w:hAnsi="ＭＳ ゴシック" w:hint="eastAsia"/>
        </w:rPr>
        <w:t>チャンク</w:t>
      </w:r>
      <w:r>
        <w:rPr>
          <w:rFonts w:hint="eastAsia"/>
        </w:rPr>
        <w:t>（chank）は人間の情報処理での情報の単位です。おおまかには記憶する項目数と考えてよいですが</w:t>
      </w:r>
      <w:r w:rsidR="00D13358">
        <w:rPr>
          <w:rFonts w:hint="eastAsia"/>
        </w:rPr>
        <w:t>，</w:t>
      </w:r>
      <w:r>
        <w:rPr>
          <w:rFonts w:hint="eastAsia"/>
        </w:rPr>
        <w:t>文字数や単語数とは必ずしも一致しません。たとえば，日本の大学生にとって「記憶」という単語は1チャンクかもしれませんが，漢字を知らない外国の学生であればとても覚えきれない</w:t>
      </w:r>
      <w:r w:rsidR="00A11D57">
        <w:rPr>
          <w:rFonts w:hint="eastAsia"/>
        </w:rPr>
        <w:t>でしょう（おそらく10チャンク以上）。</w:t>
      </w:r>
    </w:p>
    <w:p w14:paraId="66C283F7" w14:textId="30F57195" w:rsidR="00A11D57" w:rsidRDefault="00A11D57">
      <w:r>
        <w:rPr>
          <w:rFonts w:hint="eastAsia"/>
        </w:rPr>
        <w:t xml:space="preserve">　短期記憶はすぐに減衰してしまうので，保持するためには</w:t>
      </w:r>
      <w:r w:rsidRPr="00A11D57">
        <w:rPr>
          <w:rFonts w:ascii="ＭＳ ゴシック" w:eastAsia="ＭＳ ゴシック" w:hAnsi="ＭＳ ゴシック" w:hint="eastAsia"/>
        </w:rPr>
        <w:t>リハーサル</w:t>
      </w:r>
      <w:r>
        <w:rPr>
          <w:rFonts w:hint="eastAsia"/>
        </w:rPr>
        <w:t>が必要です。</w:t>
      </w:r>
      <w:r w:rsidR="00D13358">
        <w:rPr>
          <w:rFonts w:hint="eastAsia"/>
        </w:rPr>
        <w:t>これは，発声</w:t>
      </w:r>
      <w:r w:rsidR="00220B52">
        <w:rPr>
          <w:rFonts w:hint="eastAsia"/>
        </w:rPr>
        <w:t>により</w:t>
      </w:r>
      <w:r w:rsidR="00D13358">
        <w:rPr>
          <w:rFonts w:hint="eastAsia"/>
        </w:rPr>
        <w:t>，あるいは</w:t>
      </w:r>
      <w:r w:rsidR="00220B52">
        <w:rPr>
          <w:rFonts w:hint="eastAsia"/>
        </w:rPr>
        <w:t>発声せずに</w:t>
      </w:r>
      <w:r w:rsidR="00D13358">
        <w:rPr>
          <w:rFonts w:hint="eastAsia"/>
        </w:rPr>
        <w:t>頭の中で，情報を</w:t>
      </w:r>
      <w:r w:rsidR="008C4660">
        <w:rPr>
          <w:rFonts w:hint="eastAsia"/>
        </w:rPr>
        <w:t>反復</w:t>
      </w:r>
      <w:r w:rsidR="00D13358">
        <w:rPr>
          <w:rFonts w:hint="eastAsia"/>
        </w:rPr>
        <w:t>することです。教えられた電話番号をどこにもメモしないで覚えておくためには，おそらくその番号を小さく声に出しながら繰り返すでしょう。</w:t>
      </w:r>
    </w:p>
    <w:p w14:paraId="01B4EF4B" w14:textId="3290FA73" w:rsidR="008C4660" w:rsidRDefault="008C4660">
      <w:r>
        <w:rPr>
          <w:rFonts w:hint="eastAsia"/>
        </w:rPr>
        <w:t xml:space="preserve">　十分にリハーサルされた情報は</w:t>
      </w:r>
      <w:r w:rsidRPr="008C4660">
        <w:rPr>
          <w:rFonts w:ascii="ＭＳ ゴシック" w:eastAsia="ＭＳ ゴシック" w:hAnsi="ＭＳ ゴシック" w:hint="eastAsia"/>
        </w:rPr>
        <w:t>長期貯蔵庫</w:t>
      </w:r>
      <w:r>
        <w:rPr>
          <w:rFonts w:hint="eastAsia"/>
        </w:rPr>
        <w:t>（long-term store）へと送られます。</w:t>
      </w:r>
      <w:r w:rsidR="002F6C46">
        <w:rPr>
          <w:rFonts w:hint="eastAsia"/>
        </w:rPr>
        <w:t>短期記憶の情報が長期貯蔵庫に送られるかどうかは，基本的にはリハーサルの回数で決まります。</w:t>
      </w:r>
      <w:r>
        <w:rPr>
          <w:rFonts w:hint="eastAsia"/>
        </w:rPr>
        <w:t>長期貯蔵庫の容量はとても大きく，しかもここに入った情報は恒久的に保存されます</w:t>
      </w:r>
      <w:r w:rsidR="002F6C46">
        <w:rPr>
          <w:rFonts w:hint="eastAsia"/>
        </w:rPr>
        <w:t>。ずっと以前に学習したことは忘れてしまうから，長期貯蔵庫からも情報は消失するのではないかと思うかもしれません。そうした状況は，情報の消失ではなく，長期貯蔵庫にある情報の想起の失敗と考えます。</w:t>
      </w:r>
    </w:p>
    <w:p w14:paraId="5C35D4E8" w14:textId="5F0DD22A" w:rsidR="002F6C46" w:rsidRPr="005536DA" w:rsidRDefault="002F6C46">
      <w:r>
        <w:rPr>
          <w:rFonts w:hint="eastAsia"/>
        </w:rPr>
        <w:t xml:space="preserve">　長期貯蔵庫にある情報は，必要に応じて検索され，短期貯蔵庫に呼び戻されます。これが</w:t>
      </w:r>
      <w:r w:rsidRPr="002F6C46">
        <w:rPr>
          <w:rFonts w:ascii="ＭＳ ゴシック" w:eastAsia="ＭＳ ゴシック" w:hAnsi="ＭＳ ゴシック" w:hint="eastAsia"/>
        </w:rPr>
        <w:t>想起</w:t>
      </w:r>
      <w:r>
        <w:rPr>
          <w:rFonts w:hint="eastAsia"/>
        </w:rPr>
        <w:t>（remembering）という現象です。</w:t>
      </w:r>
    </w:p>
    <w:p w14:paraId="66D27793" w14:textId="77777777" w:rsidR="002F6C46" w:rsidRPr="00BA5A7E" w:rsidRDefault="002F6C46"/>
    <w:sectPr w:rsidR="002F6C46" w:rsidRPr="00BA5A7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F8DBDC" w14:textId="77777777" w:rsidR="00441A22" w:rsidRDefault="00441A22" w:rsidP="003551C4">
      <w:r>
        <w:separator/>
      </w:r>
    </w:p>
  </w:endnote>
  <w:endnote w:type="continuationSeparator" w:id="0">
    <w:p w14:paraId="08F5C76A" w14:textId="77777777" w:rsidR="00441A22" w:rsidRDefault="00441A22" w:rsidP="003551C4">
      <w:r>
        <w:continuationSeparator/>
      </w:r>
    </w:p>
  </w:endnote>
  <w:endnote w:id="1">
    <w:p w14:paraId="0E42F2A1" w14:textId="0FD8564E" w:rsidR="00087BAA" w:rsidRDefault="00087BAA">
      <w:pPr>
        <w:pStyle w:val="ae"/>
      </w:pPr>
      <w:r>
        <w:rPr>
          <w:rStyle w:val="af0"/>
        </w:rPr>
        <w:endnoteRef/>
      </w:r>
      <w:r>
        <w:t xml:space="preserve"> </w:t>
      </w:r>
      <w:r w:rsidRPr="00087BAA">
        <w:rPr>
          <w:rFonts w:ascii="Times New Roman" w:hAnsi="Times New Roman" w:cs="Times New Roman"/>
        </w:rPr>
        <w:t xml:space="preserve">Broadbent, D. E. (1958). </w:t>
      </w:r>
      <w:r w:rsidRPr="00087BAA">
        <w:rPr>
          <w:rFonts w:ascii="Times New Roman" w:hAnsi="Times New Roman" w:cs="Times New Roman"/>
          <w:i/>
          <w:iCs/>
        </w:rPr>
        <w:t>Perception and communication</w:t>
      </w:r>
      <w:r w:rsidRPr="00087BAA">
        <w:rPr>
          <w:rFonts w:ascii="Times New Roman" w:hAnsi="Times New Roman" w:cs="Times New Roman"/>
        </w:rPr>
        <w:t>. Pergamon Press.</w:t>
      </w:r>
    </w:p>
  </w:endnote>
  <w:endnote w:id="2">
    <w:p w14:paraId="0131A91B" w14:textId="4925ECE3" w:rsidR="00093FA3" w:rsidRDefault="00093FA3">
      <w:pPr>
        <w:pStyle w:val="ae"/>
      </w:pPr>
      <w:r>
        <w:rPr>
          <w:rStyle w:val="af0"/>
        </w:rPr>
        <w:endnoteRef/>
      </w:r>
      <w:r>
        <w:t xml:space="preserve"> </w:t>
      </w:r>
      <w:r>
        <w:rPr>
          <w:rFonts w:hint="eastAsia"/>
        </w:rPr>
        <w:t>ブロードベントのフィルターモデルはアメリカでの認知心理学の誕生と同時代ですし，明らかに認知心理学の情報処理モデルですが，彼の研究はアメリカでの認知心理学の誕生とは独立に行われていたようです。（参考：大芦治『心理学市』ナカニシヤ出版，p.169）</w:t>
      </w:r>
    </w:p>
  </w:endnote>
  <w:endnote w:id="3">
    <w:p w14:paraId="391FDFD4" w14:textId="15786137" w:rsidR="00735614" w:rsidRPr="00735614" w:rsidRDefault="00735614">
      <w:pPr>
        <w:pStyle w:val="ae"/>
        <w:rPr>
          <w:rFonts w:ascii="Times New Roman" w:hAnsi="Times New Roman" w:cs="Times New Roman"/>
        </w:rPr>
      </w:pPr>
      <w:r>
        <w:rPr>
          <w:rStyle w:val="af0"/>
        </w:rPr>
        <w:endnoteRef/>
      </w:r>
      <w:r>
        <w:t xml:space="preserve"> </w:t>
      </w:r>
      <w:r w:rsidRPr="00735614">
        <w:rPr>
          <w:rFonts w:ascii="Times New Roman" w:hAnsi="Times New Roman" w:cs="Times New Roman"/>
        </w:rPr>
        <w:t xml:space="preserve">Atkinson, R. C. &amp; Shiffrin, R. M. (1968). Human memory: A proposed system and its control processes. In K. W. Spence &amp; J. T. Spence (Eds.), </w:t>
      </w:r>
      <w:r w:rsidRPr="00735614">
        <w:rPr>
          <w:rFonts w:ascii="Times New Roman" w:hAnsi="Times New Roman" w:cs="Times New Roman"/>
          <w:i/>
          <w:iCs/>
        </w:rPr>
        <w:t>The psychology of learning and motivation: Advances in research and theory</w:t>
      </w:r>
      <w:r w:rsidRPr="00735614">
        <w:rPr>
          <w:rFonts w:ascii="Times New Roman" w:hAnsi="Times New Roman" w:cs="Times New Roman"/>
        </w:rPr>
        <w:t>, Vol. 2. Academic Press.</w:t>
      </w:r>
    </w:p>
  </w:endnote>
  <w:endnote w:id="4">
    <w:p w14:paraId="351B5BA4" w14:textId="411F2CA3" w:rsidR="005053B0" w:rsidRDefault="005053B0">
      <w:pPr>
        <w:pStyle w:val="ae"/>
      </w:pPr>
      <w:r>
        <w:rPr>
          <w:rStyle w:val="af0"/>
        </w:rPr>
        <w:endnoteRef/>
      </w:r>
      <w:r>
        <w:t xml:space="preserve"> </w:t>
      </w:r>
      <w:r>
        <w:rPr>
          <w:rFonts w:hint="eastAsia"/>
        </w:rPr>
        <w:t>図に示されているように，その前に感覚レジスタ（sensory register）があります。ここは感覚器を通して得られた大量の情報がごくわずかな時間だけ保持されるところです。感覚レジスタにある情報は</w:t>
      </w:r>
      <w:r w:rsidR="00220B52">
        <w:rPr>
          <w:rFonts w:hint="eastAsia"/>
        </w:rPr>
        <w:t>感覚</w:t>
      </w:r>
      <w:r>
        <w:rPr>
          <w:rFonts w:hint="eastAsia"/>
        </w:rPr>
        <w:t>記憶</w:t>
      </w:r>
      <w:r w:rsidR="00D13358">
        <w:rPr>
          <w:rFonts w:hint="eastAsia"/>
        </w:rPr>
        <w:t>（sensory memory）と呼ばれます。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B73D1" w14:textId="77777777" w:rsidR="00441A22" w:rsidRDefault="00441A22" w:rsidP="003551C4">
      <w:r>
        <w:separator/>
      </w:r>
    </w:p>
  </w:footnote>
  <w:footnote w:type="continuationSeparator" w:id="0">
    <w:p w14:paraId="109E9954" w14:textId="77777777" w:rsidR="00441A22" w:rsidRDefault="00441A22" w:rsidP="003551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1563E" w14:textId="3158A138" w:rsidR="003551C4" w:rsidRDefault="0057786D" w:rsidP="003551C4">
    <w:pPr>
      <w:pStyle w:val="aa"/>
    </w:pPr>
    <w:r w:rsidRPr="0057786D">
      <w:rPr>
        <w:rFonts w:hint="eastAsia"/>
      </w:rPr>
      <w:t>情報通信技術の活用と教育方法（中等）</w:t>
    </w:r>
  </w:p>
  <w:p w14:paraId="5F7A9689" w14:textId="0B03A2CC" w:rsidR="003551C4" w:rsidRPr="003551C4" w:rsidRDefault="003551C4">
    <w:pPr>
      <w:pStyle w:val="aa"/>
    </w:pPr>
    <w:r>
      <w:rPr>
        <w:rFonts w:hint="eastAsia"/>
      </w:rPr>
      <w:t>記憶　ジグソー法での学習教材２「記憶の貯蔵庫モデル」</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C4"/>
    <w:rsid w:val="00013F38"/>
    <w:rsid w:val="00017DB8"/>
    <w:rsid w:val="00087BAA"/>
    <w:rsid w:val="00093FA3"/>
    <w:rsid w:val="000B255E"/>
    <w:rsid w:val="001639EE"/>
    <w:rsid w:val="00220B52"/>
    <w:rsid w:val="002F6C46"/>
    <w:rsid w:val="003551C4"/>
    <w:rsid w:val="003F3567"/>
    <w:rsid w:val="00421D8A"/>
    <w:rsid w:val="00441A22"/>
    <w:rsid w:val="005053B0"/>
    <w:rsid w:val="005536DA"/>
    <w:rsid w:val="0057786D"/>
    <w:rsid w:val="00681054"/>
    <w:rsid w:val="006B6105"/>
    <w:rsid w:val="006C17DE"/>
    <w:rsid w:val="00735614"/>
    <w:rsid w:val="007702D3"/>
    <w:rsid w:val="008C4660"/>
    <w:rsid w:val="008D447A"/>
    <w:rsid w:val="00A11D57"/>
    <w:rsid w:val="00A36320"/>
    <w:rsid w:val="00AC74B0"/>
    <w:rsid w:val="00B41138"/>
    <w:rsid w:val="00B463E9"/>
    <w:rsid w:val="00BA5A7E"/>
    <w:rsid w:val="00D13358"/>
    <w:rsid w:val="00E06959"/>
    <w:rsid w:val="00E70C1F"/>
    <w:rsid w:val="00EE194F"/>
    <w:rsid w:val="00F21D54"/>
    <w:rsid w:val="00FB5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FD0469"/>
  <w15:chartTrackingRefBased/>
  <w15:docId w15:val="{0EB44BC8-44CC-4FAA-86EF-0A775752A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4F"/>
    <w:pPr>
      <w:widowControl w:val="0"/>
      <w:jc w:val="both"/>
    </w:pPr>
  </w:style>
  <w:style w:type="paragraph" w:styleId="1">
    <w:name w:val="heading 1"/>
    <w:basedOn w:val="a"/>
    <w:next w:val="a"/>
    <w:link w:val="10"/>
    <w:uiPriority w:val="9"/>
    <w:qFormat/>
    <w:rsid w:val="003551C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551C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551C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551C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551C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551C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551C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551C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551C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551C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551C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551C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551C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551C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551C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551C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551C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551C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551C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551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51C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551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51C4"/>
    <w:pPr>
      <w:spacing w:before="160" w:after="160"/>
      <w:jc w:val="center"/>
    </w:pPr>
    <w:rPr>
      <w:i/>
      <w:iCs/>
      <w:color w:val="404040" w:themeColor="text1" w:themeTint="BF"/>
    </w:rPr>
  </w:style>
  <w:style w:type="character" w:customStyle="1" w:styleId="a8">
    <w:name w:val="引用文 (文字)"/>
    <w:basedOn w:val="a0"/>
    <w:link w:val="a7"/>
    <w:uiPriority w:val="29"/>
    <w:rsid w:val="003551C4"/>
    <w:rPr>
      <w:i/>
      <w:iCs/>
      <w:color w:val="404040" w:themeColor="text1" w:themeTint="BF"/>
    </w:rPr>
  </w:style>
  <w:style w:type="paragraph" w:styleId="a9">
    <w:name w:val="List Paragraph"/>
    <w:basedOn w:val="a"/>
    <w:uiPriority w:val="34"/>
    <w:qFormat/>
    <w:rsid w:val="003551C4"/>
    <w:pPr>
      <w:ind w:left="720"/>
      <w:contextualSpacing/>
    </w:pPr>
  </w:style>
  <w:style w:type="character" w:styleId="21">
    <w:name w:val="Intense Emphasis"/>
    <w:basedOn w:val="a0"/>
    <w:uiPriority w:val="21"/>
    <w:qFormat/>
    <w:rsid w:val="003551C4"/>
    <w:rPr>
      <w:i/>
      <w:iCs/>
      <w:color w:val="0F4761" w:themeColor="accent1" w:themeShade="BF"/>
    </w:rPr>
  </w:style>
  <w:style w:type="paragraph" w:styleId="22">
    <w:name w:val="Intense Quote"/>
    <w:basedOn w:val="a"/>
    <w:next w:val="a"/>
    <w:link w:val="23"/>
    <w:uiPriority w:val="30"/>
    <w:qFormat/>
    <w:rsid w:val="003551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551C4"/>
    <w:rPr>
      <w:i/>
      <w:iCs/>
      <w:color w:val="0F4761" w:themeColor="accent1" w:themeShade="BF"/>
    </w:rPr>
  </w:style>
  <w:style w:type="character" w:styleId="24">
    <w:name w:val="Intense Reference"/>
    <w:basedOn w:val="a0"/>
    <w:uiPriority w:val="32"/>
    <w:qFormat/>
    <w:rsid w:val="003551C4"/>
    <w:rPr>
      <w:b/>
      <w:bCs/>
      <w:smallCaps/>
      <w:color w:val="0F4761" w:themeColor="accent1" w:themeShade="BF"/>
      <w:spacing w:val="5"/>
    </w:rPr>
  </w:style>
  <w:style w:type="paragraph" w:styleId="aa">
    <w:name w:val="header"/>
    <w:basedOn w:val="a"/>
    <w:link w:val="ab"/>
    <w:uiPriority w:val="99"/>
    <w:unhideWhenUsed/>
    <w:rsid w:val="003551C4"/>
    <w:pPr>
      <w:tabs>
        <w:tab w:val="center" w:pos="4252"/>
        <w:tab w:val="right" w:pos="8504"/>
      </w:tabs>
      <w:snapToGrid w:val="0"/>
    </w:pPr>
  </w:style>
  <w:style w:type="character" w:customStyle="1" w:styleId="ab">
    <w:name w:val="ヘッダー (文字)"/>
    <w:basedOn w:val="a0"/>
    <w:link w:val="aa"/>
    <w:uiPriority w:val="99"/>
    <w:rsid w:val="003551C4"/>
  </w:style>
  <w:style w:type="paragraph" w:styleId="ac">
    <w:name w:val="footer"/>
    <w:basedOn w:val="a"/>
    <w:link w:val="ad"/>
    <w:uiPriority w:val="99"/>
    <w:unhideWhenUsed/>
    <w:rsid w:val="003551C4"/>
    <w:pPr>
      <w:tabs>
        <w:tab w:val="center" w:pos="4252"/>
        <w:tab w:val="right" w:pos="8504"/>
      </w:tabs>
      <w:snapToGrid w:val="0"/>
    </w:pPr>
  </w:style>
  <w:style w:type="character" w:customStyle="1" w:styleId="ad">
    <w:name w:val="フッター (文字)"/>
    <w:basedOn w:val="a0"/>
    <w:link w:val="ac"/>
    <w:uiPriority w:val="99"/>
    <w:rsid w:val="003551C4"/>
  </w:style>
  <w:style w:type="paragraph" w:styleId="ae">
    <w:name w:val="endnote text"/>
    <w:basedOn w:val="a"/>
    <w:link w:val="af"/>
    <w:uiPriority w:val="99"/>
    <w:semiHidden/>
    <w:unhideWhenUsed/>
    <w:rsid w:val="00087BAA"/>
    <w:pPr>
      <w:snapToGrid w:val="0"/>
      <w:jc w:val="left"/>
    </w:pPr>
  </w:style>
  <w:style w:type="character" w:customStyle="1" w:styleId="af">
    <w:name w:val="文末脚注文字列 (文字)"/>
    <w:basedOn w:val="a0"/>
    <w:link w:val="ae"/>
    <w:uiPriority w:val="99"/>
    <w:semiHidden/>
    <w:rsid w:val="00087BAA"/>
  </w:style>
  <w:style w:type="character" w:styleId="af0">
    <w:name w:val="endnote reference"/>
    <w:basedOn w:val="a0"/>
    <w:uiPriority w:val="99"/>
    <w:semiHidden/>
    <w:unhideWhenUsed/>
    <w:rsid w:val="00087BAA"/>
    <w:rPr>
      <w:vertAlign w:val="superscript"/>
    </w:rPr>
  </w:style>
  <w:style w:type="character" w:styleId="af1">
    <w:name w:val="Placeholder Text"/>
    <w:basedOn w:val="a0"/>
    <w:uiPriority w:val="99"/>
    <w:semiHidden/>
    <w:rsid w:val="00BA5A7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4565333">
      <w:bodyDiv w:val="1"/>
      <w:marLeft w:val="0"/>
      <w:marRight w:val="0"/>
      <w:marTop w:val="0"/>
      <w:marBottom w:val="0"/>
      <w:divBdr>
        <w:top w:val="none" w:sz="0" w:space="0" w:color="auto"/>
        <w:left w:val="none" w:sz="0" w:space="0" w:color="auto"/>
        <w:bottom w:val="none" w:sz="0" w:space="0" w:color="auto"/>
        <w:right w:val="none" w:sz="0" w:space="0" w:color="auto"/>
      </w:divBdr>
    </w:div>
    <w:div w:id="1578590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A5B10-C664-4118-9D85-322F8B98A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2</Pages>
  <Words>258</Words>
  <Characters>1472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敦 寺尾</dc:creator>
  <cp:keywords/>
  <dc:description/>
  <cp:lastModifiedBy>敦 寺尾</cp:lastModifiedBy>
  <cp:revision>8</cp:revision>
  <cp:lastPrinted>2024-10-02T12:17:00Z</cp:lastPrinted>
  <dcterms:created xsi:type="dcterms:W3CDTF">2024-10-02T09:24:00Z</dcterms:created>
  <dcterms:modified xsi:type="dcterms:W3CDTF">2025-04-21T11:54:00Z</dcterms:modified>
</cp:coreProperties>
</file>